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CE8" w:rsidRDefault="00245CE8">
      <w:pPr>
        <w:jc w:val="center"/>
        <w:rPr>
          <w:noProof/>
          <w:sz w:val="24"/>
        </w:rPr>
      </w:pPr>
    </w:p>
    <w:p w:rsidR="00662ED2" w:rsidRDefault="00662ED2" w:rsidP="00662ED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662ED2" w:rsidRDefault="00662ED2" w:rsidP="00662ED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662ED2" w:rsidRDefault="00662ED2" w:rsidP="00662ED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31.12.2019</w:t>
      </w:r>
    </w:p>
    <w:p w:rsidR="00662ED2" w:rsidRDefault="00662ED2" w:rsidP="00662ED2">
      <w:pPr>
        <w:jc w:val="center"/>
        <w:rPr>
          <w:noProof/>
          <w:sz w:val="18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662ED2" w:rsidTr="00662ED2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ED2" w:rsidRDefault="00662ED2">
            <w:pPr>
              <w:jc w:val="center"/>
              <w:rPr>
                <w:noProof/>
                <w:sz w:val="18"/>
                <w:lang w:val="en-US"/>
              </w:rPr>
            </w:pPr>
          </w:p>
          <w:p w:rsidR="00662ED2" w:rsidRDefault="00662ED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ED2" w:rsidRDefault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62ED2" w:rsidTr="00662ED2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ED2" w:rsidRDefault="00662ED2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2ED2" w:rsidRDefault="00662ED2">
            <w:pPr>
              <w:rPr>
                <w:noProof/>
                <w:sz w:val="18"/>
              </w:rPr>
            </w:pP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663" w:rsidRDefault="00C52663">
            <w:pPr>
              <w:rPr>
                <w:noProof/>
                <w:sz w:val="18"/>
              </w:rPr>
            </w:pPr>
          </w:p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2663" w:rsidRDefault="00C52663" w:rsidP="00662ED2">
            <w:pPr>
              <w:jc w:val="center"/>
              <w:rPr>
                <w:noProof/>
                <w:sz w:val="18"/>
              </w:rPr>
            </w:pPr>
          </w:p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DA6832">
              <w:rPr>
                <w:noProof/>
                <w:sz w:val="18"/>
              </w:rPr>
              <w:t xml:space="preserve"> (0,8%)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DA6832">
              <w:rPr>
                <w:noProof/>
                <w:sz w:val="18"/>
              </w:rPr>
              <w:t xml:space="preserve"> (0,2%)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DA6832">
              <w:rPr>
                <w:noProof/>
                <w:sz w:val="18"/>
              </w:rPr>
              <w:t xml:space="preserve"> (1,4%)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FF76A7">
              <w:rPr>
                <w:noProof/>
                <w:sz w:val="18"/>
              </w:rPr>
              <w:t xml:space="preserve"> </w:t>
            </w:r>
            <w:r w:rsidR="00DA6832">
              <w:rPr>
                <w:noProof/>
                <w:sz w:val="18"/>
              </w:rPr>
              <w:t>(0,8%)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F76A7">
              <w:rPr>
                <w:noProof/>
                <w:sz w:val="18"/>
              </w:rPr>
              <w:t xml:space="preserve"> </w:t>
            </w:r>
            <w:r w:rsidR="00DA6832">
              <w:rPr>
                <w:noProof/>
                <w:sz w:val="18"/>
              </w:rPr>
              <w:t>(0,2%)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FF76A7">
              <w:rPr>
                <w:noProof/>
                <w:sz w:val="18"/>
              </w:rPr>
              <w:t xml:space="preserve"> </w:t>
            </w:r>
            <w:r w:rsidR="00DA6832">
              <w:rPr>
                <w:noProof/>
                <w:sz w:val="18"/>
              </w:rPr>
              <w:t>(0,8%)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FF76A7">
              <w:rPr>
                <w:noProof/>
                <w:sz w:val="18"/>
              </w:rPr>
              <w:t xml:space="preserve"> </w:t>
            </w:r>
            <w:r w:rsidR="00DA6832">
              <w:rPr>
                <w:noProof/>
                <w:sz w:val="18"/>
              </w:rPr>
              <w:t>(1,4%)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DA6832">
              <w:rPr>
                <w:noProof/>
                <w:sz w:val="18"/>
              </w:rPr>
              <w:t xml:space="preserve"> (0,5%)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DA6832">
              <w:rPr>
                <w:noProof/>
                <w:sz w:val="18"/>
              </w:rPr>
              <w:t xml:space="preserve"> (1,1%)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F76A7">
              <w:rPr>
                <w:noProof/>
                <w:sz w:val="18"/>
              </w:rPr>
              <w:t xml:space="preserve"> </w:t>
            </w:r>
            <w:r w:rsidR="00DA6832">
              <w:rPr>
                <w:noProof/>
                <w:sz w:val="18"/>
              </w:rPr>
              <w:t>(0,5%)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FF76A7">
              <w:rPr>
                <w:noProof/>
                <w:sz w:val="18"/>
              </w:rPr>
              <w:t xml:space="preserve"> </w:t>
            </w:r>
            <w:r w:rsidR="00DA6832">
              <w:rPr>
                <w:noProof/>
                <w:sz w:val="18"/>
              </w:rPr>
              <w:t>(0,8%)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F76A7">
              <w:rPr>
                <w:noProof/>
                <w:sz w:val="18"/>
              </w:rPr>
              <w:t xml:space="preserve"> </w:t>
            </w:r>
            <w:r w:rsidR="00DA6832">
              <w:rPr>
                <w:noProof/>
                <w:sz w:val="18"/>
              </w:rPr>
              <w:t>(0,2%)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FF76A7">
              <w:rPr>
                <w:noProof/>
                <w:sz w:val="18"/>
              </w:rPr>
              <w:t xml:space="preserve"> </w:t>
            </w:r>
            <w:r w:rsidR="00DA6832">
              <w:rPr>
                <w:noProof/>
                <w:sz w:val="18"/>
              </w:rPr>
              <w:t>(1,4%)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F76A7">
              <w:rPr>
                <w:noProof/>
                <w:sz w:val="18"/>
              </w:rPr>
              <w:t xml:space="preserve"> </w:t>
            </w:r>
            <w:r w:rsidR="00DA6832">
              <w:rPr>
                <w:noProof/>
                <w:sz w:val="18"/>
              </w:rPr>
              <w:t>(0,5%)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  <w:r w:rsidR="00DA6832">
              <w:rPr>
                <w:noProof/>
                <w:sz w:val="18"/>
              </w:rPr>
              <w:t xml:space="preserve"> (5,6%)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FF76A7">
              <w:rPr>
                <w:noProof/>
                <w:sz w:val="18"/>
              </w:rPr>
              <w:t xml:space="preserve"> </w:t>
            </w:r>
            <w:r w:rsidR="00DA6832">
              <w:rPr>
                <w:noProof/>
                <w:sz w:val="18"/>
              </w:rPr>
              <w:t>(2,8%)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F76A7">
              <w:rPr>
                <w:noProof/>
                <w:sz w:val="18"/>
              </w:rPr>
              <w:t xml:space="preserve"> </w:t>
            </w:r>
            <w:r w:rsidR="00DA6832">
              <w:rPr>
                <w:noProof/>
                <w:sz w:val="18"/>
              </w:rPr>
              <w:t>(0,5%)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  <w:r w:rsidR="00DA6832">
              <w:rPr>
                <w:noProof/>
                <w:sz w:val="18"/>
              </w:rPr>
              <w:t xml:space="preserve"> (5,6%)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FF76A7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662ED2">
              <w:rPr>
                <w:noProof/>
                <w:sz w:val="18"/>
              </w:rPr>
              <w:t>50</w:t>
            </w:r>
            <w:r w:rsidR="00DA6832">
              <w:rPr>
                <w:noProof/>
                <w:sz w:val="18"/>
              </w:rPr>
              <w:t xml:space="preserve"> (14,0%)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  <w:r w:rsidR="00DA6832">
              <w:rPr>
                <w:noProof/>
                <w:sz w:val="18"/>
              </w:rPr>
              <w:t xml:space="preserve"> (4,2%)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F76A7">
              <w:rPr>
                <w:noProof/>
                <w:sz w:val="18"/>
              </w:rPr>
              <w:t xml:space="preserve"> </w:t>
            </w:r>
            <w:r w:rsidR="00DA6832">
              <w:rPr>
                <w:noProof/>
                <w:sz w:val="18"/>
              </w:rPr>
              <w:t>(0,2%)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DA6832">
              <w:rPr>
                <w:noProof/>
                <w:sz w:val="18"/>
              </w:rPr>
              <w:t xml:space="preserve"> (1,9%)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DA6832">
              <w:rPr>
                <w:noProof/>
                <w:sz w:val="18"/>
              </w:rPr>
              <w:t xml:space="preserve"> (1,1%)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FF76A7">
              <w:rPr>
                <w:noProof/>
                <w:sz w:val="18"/>
              </w:rPr>
              <w:t xml:space="preserve"> (1,6%)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FF76A7">
              <w:rPr>
                <w:noProof/>
                <w:sz w:val="18"/>
              </w:rPr>
              <w:t xml:space="preserve"> (2,8%)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FF76A7">
              <w:rPr>
                <w:noProof/>
                <w:sz w:val="18"/>
              </w:rPr>
              <w:t xml:space="preserve"> </w:t>
            </w:r>
            <w:r w:rsidR="00DA6832">
              <w:rPr>
                <w:noProof/>
                <w:sz w:val="18"/>
              </w:rPr>
              <w:t>(0,8%)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FF76A7">
              <w:rPr>
                <w:noProof/>
                <w:sz w:val="18"/>
              </w:rPr>
              <w:t xml:space="preserve"> </w:t>
            </w:r>
            <w:r w:rsidR="00DA6832">
              <w:rPr>
                <w:noProof/>
                <w:sz w:val="18"/>
              </w:rPr>
              <w:t>(0,8%)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  <w:r w:rsidR="00FF76A7">
              <w:rPr>
                <w:noProof/>
                <w:sz w:val="18"/>
              </w:rPr>
              <w:t xml:space="preserve"> (4,4%)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FF76A7">
              <w:rPr>
                <w:noProof/>
                <w:sz w:val="18"/>
              </w:rPr>
              <w:t xml:space="preserve"> </w:t>
            </w:r>
            <w:r w:rsidR="00DA6832">
              <w:rPr>
                <w:noProof/>
                <w:sz w:val="18"/>
              </w:rPr>
              <w:t>(1,4%)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  <w:r w:rsidR="00FF76A7">
              <w:rPr>
                <w:noProof/>
                <w:sz w:val="18"/>
              </w:rPr>
              <w:t xml:space="preserve"> (13,4%)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  <w:r w:rsidR="00FF76A7">
              <w:rPr>
                <w:noProof/>
                <w:sz w:val="18"/>
              </w:rPr>
              <w:t xml:space="preserve"> (5,0%)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FF76A7">
              <w:rPr>
                <w:noProof/>
                <w:sz w:val="18"/>
              </w:rPr>
              <w:t xml:space="preserve"> (1,9%)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FF76A7">
              <w:rPr>
                <w:noProof/>
                <w:sz w:val="18"/>
              </w:rPr>
              <w:t xml:space="preserve"> (2,2%)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F76A7">
              <w:rPr>
                <w:noProof/>
                <w:sz w:val="18"/>
              </w:rPr>
              <w:t xml:space="preserve"> </w:t>
            </w:r>
            <w:r w:rsidR="00DA6832">
              <w:rPr>
                <w:noProof/>
                <w:sz w:val="18"/>
              </w:rPr>
              <w:t>(0,2%)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  <w:r w:rsidR="00FF76A7">
              <w:rPr>
                <w:noProof/>
                <w:sz w:val="18"/>
              </w:rPr>
              <w:t xml:space="preserve"> (5,3%)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FF76A7">
              <w:rPr>
                <w:noProof/>
                <w:sz w:val="18"/>
              </w:rPr>
              <w:t xml:space="preserve"> (2,5%)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FF76A7">
              <w:rPr>
                <w:noProof/>
                <w:sz w:val="18"/>
              </w:rPr>
              <w:t xml:space="preserve"> (1,9%)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F76A7">
              <w:rPr>
                <w:noProof/>
                <w:sz w:val="18"/>
              </w:rPr>
              <w:t xml:space="preserve"> </w:t>
            </w:r>
            <w:r w:rsidR="00DA6832">
              <w:rPr>
                <w:noProof/>
                <w:sz w:val="18"/>
              </w:rPr>
              <w:t>(0,2%)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FF76A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  <w:r w:rsidR="00FF76A7">
              <w:rPr>
                <w:noProof/>
                <w:sz w:val="18"/>
              </w:rPr>
              <w:t xml:space="preserve"> (5,0%)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F76A7">
              <w:rPr>
                <w:noProof/>
                <w:sz w:val="18"/>
              </w:rPr>
              <w:t xml:space="preserve"> </w:t>
            </w:r>
            <w:r w:rsidR="00DA6832">
              <w:rPr>
                <w:noProof/>
                <w:sz w:val="18"/>
              </w:rPr>
              <w:t>(0,2%)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0003.0009.0098.0723 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F76A7">
              <w:rPr>
                <w:noProof/>
                <w:sz w:val="18"/>
              </w:rPr>
              <w:t xml:space="preserve"> </w:t>
            </w:r>
            <w:r w:rsidR="00DA6832">
              <w:rPr>
                <w:noProof/>
                <w:sz w:val="18"/>
              </w:rPr>
              <w:t>(0,2%)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0003.0009.0099.0742 Эксплуатация и сохранность автомобильных дорог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F76A7">
              <w:rPr>
                <w:noProof/>
                <w:sz w:val="18"/>
              </w:rPr>
              <w:t xml:space="preserve"> </w:t>
            </w:r>
            <w:r w:rsidR="00DA6832">
              <w:rPr>
                <w:noProof/>
                <w:sz w:val="18"/>
              </w:rPr>
              <w:t>(0,2%)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F76A7">
              <w:rPr>
                <w:noProof/>
                <w:sz w:val="18"/>
              </w:rPr>
              <w:t xml:space="preserve"> </w:t>
            </w:r>
            <w:r w:rsidR="00DA6832">
              <w:rPr>
                <w:noProof/>
                <w:sz w:val="18"/>
              </w:rPr>
              <w:t>(0,2%)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F76A7">
              <w:rPr>
                <w:noProof/>
                <w:sz w:val="18"/>
              </w:rPr>
              <w:t xml:space="preserve"> (0,5%)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0004.0016.0162.1015 Ответственность за нарушение в сфере ЖКХ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F76A7">
              <w:rPr>
                <w:noProof/>
                <w:sz w:val="18"/>
              </w:rPr>
              <w:t xml:space="preserve"> </w:t>
            </w:r>
            <w:r w:rsidR="00DA6832">
              <w:rPr>
                <w:noProof/>
                <w:sz w:val="18"/>
              </w:rPr>
              <w:t>(0,2%)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0004.0016.0162.1022 Противопожарная служба, соблюдение норм противопожарной безопасности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F76A7">
              <w:rPr>
                <w:noProof/>
                <w:sz w:val="18"/>
              </w:rPr>
              <w:t xml:space="preserve"> </w:t>
            </w:r>
            <w:r w:rsidR="00DA6832">
              <w:rPr>
                <w:noProof/>
                <w:sz w:val="18"/>
              </w:rPr>
              <w:t>(0,2%)</w:t>
            </w:r>
          </w:p>
        </w:tc>
      </w:tr>
      <w:tr w:rsidR="00662ED2" w:rsidTr="00662E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>
            <w:pPr>
              <w:rPr>
                <w:noProof/>
                <w:sz w:val="18"/>
              </w:rPr>
            </w:pPr>
          </w:p>
          <w:p w:rsidR="00662ED2" w:rsidRDefault="00662E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D2" w:rsidRDefault="00662ED2" w:rsidP="00662ED2">
            <w:pPr>
              <w:jc w:val="center"/>
              <w:rPr>
                <w:noProof/>
                <w:sz w:val="18"/>
              </w:rPr>
            </w:pPr>
          </w:p>
          <w:p w:rsidR="00662ED2" w:rsidRDefault="00662ED2" w:rsidP="00662E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356</w:t>
            </w:r>
          </w:p>
        </w:tc>
      </w:tr>
    </w:tbl>
    <w:p w:rsidR="00662ED2" w:rsidRDefault="00662ED2" w:rsidP="00662ED2">
      <w:pPr>
        <w:rPr>
          <w:noProof/>
        </w:rPr>
      </w:pPr>
    </w:p>
    <w:p w:rsidR="00662ED2" w:rsidRDefault="00662ED2" w:rsidP="00662ED2">
      <w:pPr>
        <w:rPr>
          <w:noProof/>
        </w:rPr>
      </w:pPr>
    </w:p>
    <w:p w:rsidR="00662ED2" w:rsidRDefault="00662ED2" w:rsidP="00662ED2">
      <w:pPr>
        <w:rPr>
          <w:noProof/>
        </w:rPr>
      </w:pPr>
    </w:p>
    <w:p w:rsidR="00662ED2" w:rsidRDefault="00662ED2" w:rsidP="00662ED2">
      <w:pPr>
        <w:rPr>
          <w:noProof/>
        </w:rPr>
      </w:pPr>
    </w:p>
    <w:p w:rsidR="00662ED2" w:rsidRDefault="00662ED2" w:rsidP="00662ED2">
      <w:pPr>
        <w:rPr>
          <w:noProof/>
        </w:rPr>
      </w:pPr>
    </w:p>
    <w:p w:rsidR="00662ED2" w:rsidRDefault="00662ED2" w:rsidP="00662ED2">
      <w:pPr>
        <w:rPr>
          <w:noProof/>
        </w:rPr>
      </w:pPr>
    </w:p>
    <w:p w:rsidR="00662ED2" w:rsidRDefault="00662ED2" w:rsidP="00662ED2">
      <w:pPr>
        <w:rPr>
          <w:noProof/>
        </w:rPr>
      </w:pPr>
    </w:p>
    <w:p w:rsidR="00662ED2" w:rsidRDefault="00662ED2" w:rsidP="00662ED2">
      <w:pPr>
        <w:rPr>
          <w:noProof/>
        </w:rPr>
      </w:pPr>
    </w:p>
    <w:p w:rsidR="00662ED2" w:rsidRDefault="00662ED2" w:rsidP="00662ED2">
      <w:pPr>
        <w:rPr>
          <w:noProof/>
        </w:rPr>
      </w:pPr>
    </w:p>
    <w:p w:rsidR="00A9746F" w:rsidRDefault="00A9746F" w:rsidP="00A9746F">
      <w:pPr>
        <w:rPr>
          <w:noProof/>
        </w:rPr>
      </w:pPr>
    </w:p>
    <w:p w:rsidR="00A9746F" w:rsidRDefault="00A9746F" w:rsidP="00A9746F">
      <w:pPr>
        <w:rPr>
          <w:noProof/>
        </w:rPr>
      </w:pPr>
    </w:p>
    <w:p w:rsidR="00A9746F" w:rsidRDefault="00A9746F" w:rsidP="00A9746F">
      <w:pPr>
        <w:rPr>
          <w:noProof/>
        </w:rPr>
      </w:pPr>
    </w:p>
    <w:p w:rsidR="00A9746F" w:rsidRDefault="00A9746F" w:rsidP="00A9746F">
      <w:pPr>
        <w:rPr>
          <w:noProof/>
        </w:rPr>
      </w:pPr>
    </w:p>
    <w:p w:rsidR="00E44816" w:rsidRDefault="00E44816" w:rsidP="00E44816">
      <w:pPr>
        <w:rPr>
          <w:noProof/>
        </w:rPr>
      </w:pPr>
    </w:p>
    <w:p w:rsidR="00E44816" w:rsidRDefault="00E44816" w:rsidP="00E44816">
      <w:pPr>
        <w:rPr>
          <w:noProof/>
        </w:rPr>
      </w:pPr>
    </w:p>
    <w:p w:rsidR="00E44816" w:rsidRDefault="00E44816" w:rsidP="00E44816">
      <w:pPr>
        <w:rPr>
          <w:noProof/>
        </w:rPr>
      </w:pPr>
    </w:p>
    <w:p w:rsidR="00E44816" w:rsidRDefault="00E44816" w:rsidP="00E44816">
      <w:pPr>
        <w:rPr>
          <w:noProof/>
        </w:rPr>
      </w:pPr>
    </w:p>
    <w:p w:rsidR="00E44816" w:rsidRDefault="00E44816" w:rsidP="00E44816">
      <w:pPr>
        <w:rPr>
          <w:noProof/>
        </w:rPr>
      </w:pPr>
    </w:p>
    <w:p w:rsidR="00F6220C" w:rsidRDefault="00F6220C" w:rsidP="00F6220C">
      <w:pPr>
        <w:rPr>
          <w:noProof/>
        </w:rPr>
      </w:pPr>
    </w:p>
    <w:p w:rsidR="00F6220C" w:rsidRDefault="00F6220C" w:rsidP="00F6220C">
      <w:pPr>
        <w:rPr>
          <w:noProof/>
        </w:rPr>
      </w:pPr>
    </w:p>
    <w:p w:rsidR="00E95026" w:rsidRDefault="00E95026">
      <w:pPr>
        <w:rPr>
          <w:noProof/>
        </w:rPr>
      </w:pPr>
    </w:p>
    <w:sectPr w:rsidR="00E95026" w:rsidSect="00245CE8">
      <w:headerReference w:type="default" r:id="rId7"/>
      <w:pgSz w:w="11907" w:h="16840" w:code="9"/>
      <w:pgMar w:top="1440" w:right="1417" w:bottom="1440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16E" w:rsidRDefault="009E716E" w:rsidP="00245CE8">
      <w:r>
        <w:separator/>
      </w:r>
    </w:p>
  </w:endnote>
  <w:endnote w:type="continuationSeparator" w:id="1">
    <w:p w:rsidR="009E716E" w:rsidRDefault="009E716E" w:rsidP="00245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16E" w:rsidRDefault="009E716E" w:rsidP="00245CE8">
      <w:r>
        <w:separator/>
      </w:r>
    </w:p>
  </w:footnote>
  <w:footnote w:type="continuationSeparator" w:id="1">
    <w:p w:rsidR="009E716E" w:rsidRDefault="009E716E" w:rsidP="00245C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>Приложение № 1</w:t>
    </w:r>
  </w:p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 xml:space="preserve">к справке УФНС России </w:t>
    </w:r>
  </w:p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>по Пензенской области</w:t>
    </w:r>
  </w:p>
  <w:p w:rsidR="00245CE8" w:rsidRDefault="00245CE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5026"/>
    <w:rsid w:val="00014962"/>
    <w:rsid w:val="0004606D"/>
    <w:rsid w:val="00077D93"/>
    <w:rsid w:val="000848FC"/>
    <w:rsid w:val="000A4EA3"/>
    <w:rsid w:val="000E25D8"/>
    <w:rsid w:val="00112FB4"/>
    <w:rsid w:val="0011571F"/>
    <w:rsid w:val="00121D5D"/>
    <w:rsid w:val="00166B8F"/>
    <w:rsid w:val="00185118"/>
    <w:rsid w:val="001B10EF"/>
    <w:rsid w:val="001D2AFD"/>
    <w:rsid w:val="001E51F9"/>
    <w:rsid w:val="001F139E"/>
    <w:rsid w:val="002165C0"/>
    <w:rsid w:val="00225FF6"/>
    <w:rsid w:val="002360FD"/>
    <w:rsid w:val="00245CE8"/>
    <w:rsid w:val="002B5C73"/>
    <w:rsid w:val="002C78DA"/>
    <w:rsid w:val="002F1E66"/>
    <w:rsid w:val="003227D3"/>
    <w:rsid w:val="0036458C"/>
    <w:rsid w:val="00372510"/>
    <w:rsid w:val="003A3B0F"/>
    <w:rsid w:val="003C307F"/>
    <w:rsid w:val="003C46BF"/>
    <w:rsid w:val="003D2036"/>
    <w:rsid w:val="003E210A"/>
    <w:rsid w:val="004001D2"/>
    <w:rsid w:val="00460B84"/>
    <w:rsid w:val="00473814"/>
    <w:rsid w:val="00480D91"/>
    <w:rsid w:val="004A2229"/>
    <w:rsid w:val="004C4C1D"/>
    <w:rsid w:val="00517551"/>
    <w:rsid w:val="0052456C"/>
    <w:rsid w:val="00547580"/>
    <w:rsid w:val="00570778"/>
    <w:rsid w:val="00571F1A"/>
    <w:rsid w:val="00574594"/>
    <w:rsid w:val="005B39AA"/>
    <w:rsid w:val="005D0F47"/>
    <w:rsid w:val="005F675C"/>
    <w:rsid w:val="00604AFB"/>
    <w:rsid w:val="0062538D"/>
    <w:rsid w:val="0063732A"/>
    <w:rsid w:val="00641CB8"/>
    <w:rsid w:val="00662ED2"/>
    <w:rsid w:val="006A1020"/>
    <w:rsid w:val="006E55BC"/>
    <w:rsid w:val="00703464"/>
    <w:rsid w:val="0071193C"/>
    <w:rsid w:val="00766024"/>
    <w:rsid w:val="007E2B43"/>
    <w:rsid w:val="007F08FD"/>
    <w:rsid w:val="007F2131"/>
    <w:rsid w:val="007F4936"/>
    <w:rsid w:val="008057B6"/>
    <w:rsid w:val="008C3EC4"/>
    <w:rsid w:val="00905F9E"/>
    <w:rsid w:val="00934E9A"/>
    <w:rsid w:val="00974D76"/>
    <w:rsid w:val="00984753"/>
    <w:rsid w:val="0098736F"/>
    <w:rsid w:val="00993E53"/>
    <w:rsid w:val="009D05AA"/>
    <w:rsid w:val="009E026A"/>
    <w:rsid w:val="009E716E"/>
    <w:rsid w:val="00A103BB"/>
    <w:rsid w:val="00A23ED1"/>
    <w:rsid w:val="00A25FC7"/>
    <w:rsid w:val="00A3629D"/>
    <w:rsid w:val="00A62943"/>
    <w:rsid w:val="00A9746F"/>
    <w:rsid w:val="00AD2005"/>
    <w:rsid w:val="00AE4C79"/>
    <w:rsid w:val="00B0160F"/>
    <w:rsid w:val="00B34864"/>
    <w:rsid w:val="00B37266"/>
    <w:rsid w:val="00BA1D3F"/>
    <w:rsid w:val="00BE2331"/>
    <w:rsid w:val="00C21F11"/>
    <w:rsid w:val="00C52663"/>
    <w:rsid w:val="00CD088D"/>
    <w:rsid w:val="00CD2350"/>
    <w:rsid w:val="00CD72C8"/>
    <w:rsid w:val="00D45F53"/>
    <w:rsid w:val="00D7798B"/>
    <w:rsid w:val="00DA6832"/>
    <w:rsid w:val="00DE756F"/>
    <w:rsid w:val="00E26575"/>
    <w:rsid w:val="00E3206F"/>
    <w:rsid w:val="00E44816"/>
    <w:rsid w:val="00E44908"/>
    <w:rsid w:val="00E56951"/>
    <w:rsid w:val="00E736AE"/>
    <w:rsid w:val="00E95026"/>
    <w:rsid w:val="00F006C4"/>
    <w:rsid w:val="00F61B31"/>
    <w:rsid w:val="00F6220C"/>
    <w:rsid w:val="00F73B28"/>
    <w:rsid w:val="00F84E03"/>
    <w:rsid w:val="00FA3D60"/>
    <w:rsid w:val="00FB6E27"/>
    <w:rsid w:val="00FC2DC9"/>
    <w:rsid w:val="00FD47D8"/>
    <w:rsid w:val="00FE20DD"/>
    <w:rsid w:val="00FE6852"/>
    <w:rsid w:val="00FF538C"/>
    <w:rsid w:val="00FF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ED2"/>
  </w:style>
  <w:style w:type="paragraph" w:styleId="1">
    <w:name w:val="heading 1"/>
    <w:basedOn w:val="a"/>
    <w:next w:val="a"/>
    <w:qFormat/>
    <w:rsid w:val="00480D91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480D91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480D91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480D91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80D91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480D91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480D91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480D91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480D91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5C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5CE8"/>
  </w:style>
  <w:style w:type="paragraph" w:styleId="a5">
    <w:name w:val="footer"/>
    <w:basedOn w:val="a"/>
    <w:link w:val="a6"/>
    <w:uiPriority w:val="99"/>
    <w:semiHidden/>
    <w:unhideWhenUsed/>
    <w:rsid w:val="00245C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5C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119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64</cp:revision>
  <cp:lastPrinted>1601-01-01T00:00:00Z</cp:lastPrinted>
  <dcterms:created xsi:type="dcterms:W3CDTF">2016-04-22T11:04:00Z</dcterms:created>
  <dcterms:modified xsi:type="dcterms:W3CDTF">2020-01-15T07:43:00Z</dcterms:modified>
</cp:coreProperties>
</file>